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A6AFF" w14:textId="10A519AD" w:rsidR="00736825" w:rsidRPr="00736825" w:rsidRDefault="00736825" w:rsidP="00736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pl-PL"/>
        </w:rPr>
      </w:pPr>
      <w:r w:rsidRPr="00736825">
        <w:rPr>
          <w:rFonts w:ascii="Times New Roman" w:eastAsia="Times New Roman" w:hAnsi="Times New Roman" w:cs="Times New Roman"/>
          <w:szCs w:val="28"/>
          <w:lang w:eastAsia="pl-PL"/>
        </w:rPr>
        <w:t>Załącznik B.105.</w:t>
      </w:r>
    </w:p>
    <w:p w14:paraId="3677AA27" w14:textId="77777777" w:rsidR="00736825" w:rsidRPr="00736825" w:rsidRDefault="00736825" w:rsidP="00736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pl-PL"/>
        </w:rPr>
      </w:pPr>
    </w:p>
    <w:p w14:paraId="27C77B34" w14:textId="77777777" w:rsidR="00736825" w:rsidRPr="00736825" w:rsidRDefault="00736825" w:rsidP="00736825">
      <w:pPr>
        <w:autoSpaceDE w:val="0"/>
        <w:autoSpaceDN w:val="0"/>
        <w:adjustRightInd w:val="0"/>
        <w:spacing w:after="240" w:line="240" w:lineRule="auto"/>
        <w:rPr>
          <w:rFonts w:ascii="Courier New" w:eastAsia="Times New Roman" w:hAnsi="Courier New" w:cs="Times New Roman"/>
          <w:sz w:val="28"/>
          <w:szCs w:val="28"/>
          <w:lang w:eastAsia="pl-PL"/>
        </w:rPr>
      </w:pPr>
      <w:r w:rsidRPr="0073682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ZAPALENIA BŁONY NACZYNIOWEJ OKA (ZBN) – CZĘŚĆ POŚREDNIA, ODCINEK TYLNY LUB CAŁA BŁONA NACZYNIOWA (ICD-10 H 20.0, H 30.0)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940"/>
        <w:gridCol w:w="4112"/>
        <w:gridCol w:w="4336"/>
      </w:tblGrid>
      <w:tr w:rsidR="00AB0910" w:rsidRPr="00594413" w14:paraId="259D504C" w14:textId="77777777" w:rsidTr="00736825">
        <w:tc>
          <w:tcPr>
            <w:tcW w:w="5000" w:type="pct"/>
            <w:gridSpan w:val="3"/>
          </w:tcPr>
          <w:p w14:paraId="4C459CCD" w14:textId="77777777" w:rsidR="00AB0910" w:rsidRPr="00594413" w:rsidRDefault="00AB0910" w:rsidP="0014554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AB0910" w:rsidRPr="00594413" w14:paraId="1DD34321" w14:textId="77777777" w:rsidTr="00736825">
        <w:tc>
          <w:tcPr>
            <w:tcW w:w="2255" w:type="pct"/>
            <w:vAlign w:val="center"/>
          </w:tcPr>
          <w:p w14:paraId="1F1E35B3" w14:textId="77777777" w:rsidR="00AB0910" w:rsidRPr="00594413" w:rsidRDefault="00AB0910" w:rsidP="0073682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vAlign w:val="center"/>
          </w:tcPr>
          <w:p w14:paraId="64FECF72" w14:textId="77777777" w:rsidR="00AB0910" w:rsidRPr="00594413" w:rsidRDefault="00AB0910" w:rsidP="0073682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SCHEMAT DAWKOWANIA LEKÓW</w:t>
            </w:r>
          </w:p>
          <w:p w14:paraId="1E6923D4" w14:textId="77777777" w:rsidR="00AB0910" w:rsidRPr="00594413" w:rsidRDefault="00AB0910" w:rsidP="0073682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409" w:type="pct"/>
            <w:vAlign w:val="center"/>
          </w:tcPr>
          <w:p w14:paraId="33F01E9D" w14:textId="25C316C7" w:rsidR="00AB0910" w:rsidRPr="00594413" w:rsidRDefault="00AB0910" w:rsidP="0073682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BADANIA DIAGNOSTYCZNE WYKONYWANE W</w:t>
            </w:r>
            <w:r w:rsidR="00736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RAMACH PROGRAMU</w:t>
            </w:r>
          </w:p>
        </w:tc>
      </w:tr>
      <w:tr w:rsidR="00AB0910" w:rsidRPr="00594413" w14:paraId="1D3E3FBD" w14:textId="77777777" w:rsidTr="00736825">
        <w:tc>
          <w:tcPr>
            <w:tcW w:w="2255" w:type="pct"/>
          </w:tcPr>
          <w:p w14:paraId="4CC31783" w14:textId="77777777" w:rsidR="00AB0910" w:rsidRPr="00766B60" w:rsidRDefault="00AB0910" w:rsidP="007B698D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left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kwalifikacji:</w:t>
            </w:r>
          </w:p>
          <w:p w14:paraId="54182ABC" w14:textId="77777777" w:rsidR="00D30EDD" w:rsidRDefault="005373A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Pacjent jest kwalifikowany do programu przez Zespół Koordynacyjny, powoływany przez Prezesa Narodowego Funduszu Zdrowia.</w:t>
            </w:r>
          </w:p>
          <w:p w14:paraId="7369E436" w14:textId="3497355F" w:rsidR="005373A6" w:rsidRPr="007B0C96" w:rsidRDefault="007B0C9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C96">
              <w:rPr>
                <w:rFonts w:ascii="Times New Roman" w:hAnsi="Times New Roman" w:cs="Times New Roman"/>
                <w:sz w:val="20"/>
                <w:szCs w:val="20"/>
              </w:rPr>
              <w:t xml:space="preserve">Do oceny </w:t>
            </w:r>
            <w:r w:rsidRPr="001B5F3C">
              <w:rPr>
                <w:rFonts w:ascii="Times New Roman" w:hAnsi="Times New Roman" w:cs="Times New Roman"/>
                <w:sz w:val="20"/>
                <w:szCs w:val="20"/>
              </w:rPr>
              <w:t>stanu klinicznego</w:t>
            </w:r>
            <w:r w:rsidRPr="004A7499">
              <w:rPr>
                <w:rFonts w:ascii="Times New Roman" w:hAnsi="Times New Roman" w:cs="Times New Roman"/>
                <w:sz w:val="20"/>
                <w:szCs w:val="20"/>
              </w:rPr>
              <w:t xml:space="preserve"> pacjentów stosowane są kryteria SUN opisane w </w:t>
            </w:r>
            <w:r w:rsidRPr="004A7499"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</w:rPr>
              <w:t>standaryzacji nomenklatury zapaleń błony naczyniowej (Standarization of Uveitis Nomenclature)</w:t>
            </w:r>
            <w:r w:rsidR="00D30E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64F3D6" w14:textId="77777777" w:rsidR="007B0C96" w:rsidRDefault="007B0C9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B3B45" w14:textId="588B3F62" w:rsidR="00AB0910" w:rsidRPr="00594413" w:rsidRDefault="00AB0910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Do leczenia </w:t>
            </w:r>
            <w:r w:rsidR="00317B1A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r w:rsidR="00317B1A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w ramach programu</w:t>
            </w:r>
            <w:r w:rsidR="005373A6">
              <w:rPr>
                <w:rFonts w:ascii="Times New Roman" w:hAnsi="Times New Roman" w:cs="Times New Roman"/>
                <w:sz w:val="20"/>
                <w:szCs w:val="20"/>
              </w:rPr>
              <w:t xml:space="preserve"> lekowego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kwalifikują się świadczeniobiorcy s</w:t>
            </w:r>
            <w:r w:rsidR="00B51D9D" w:rsidRPr="00594413">
              <w:rPr>
                <w:rFonts w:ascii="Times New Roman" w:hAnsi="Times New Roman" w:cs="Times New Roman"/>
                <w:sz w:val="20"/>
                <w:szCs w:val="20"/>
              </w:rPr>
              <w:t>pełniający następujące kryteria (</w:t>
            </w:r>
            <w:r w:rsidR="00B51D9D" w:rsidRPr="00594413">
              <w:rPr>
                <w:rFonts w:ascii="Times New Roman" w:hAnsi="Times New Roman" w:cs="Times New Roman"/>
                <w:i/>
                <w:sz w:val="20"/>
                <w:szCs w:val="20"/>
              </w:rPr>
              <w:t>konieczne jest łączne spełnienie</w:t>
            </w:r>
            <w:r w:rsidR="0015719A" w:rsidRPr="00594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kryteriów </w:t>
            </w:r>
            <w:r w:rsidR="004A6B8F" w:rsidRPr="005944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przedstawionych </w:t>
            </w:r>
            <w:r w:rsidR="0015719A" w:rsidRPr="00594413">
              <w:rPr>
                <w:rFonts w:ascii="Times New Roman" w:hAnsi="Times New Roman" w:cs="Times New Roman"/>
                <w:i/>
                <w:sz w:val="20"/>
                <w:szCs w:val="20"/>
              </w:rPr>
              <w:t>w punkcie a i b oraz jednego z kryteriów wskazanych w punkcie c, d i e</w:t>
            </w:r>
            <w:r w:rsidR="0015719A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14:paraId="0A4DC0CD" w14:textId="77777777" w:rsidR="005373A6" w:rsidRDefault="00CB0E1D" w:rsidP="007B698D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wiek </w:t>
            </w:r>
            <w:r w:rsidR="009549A9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chorego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≥ 18 r.ż.;</w:t>
            </w:r>
          </w:p>
          <w:p w14:paraId="63EA4054" w14:textId="77777777" w:rsidR="005373A6" w:rsidRDefault="005373A6" w:rsidP="007B698D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 xml:space="preserve">chorzy z niezakaźnym przewlekłym, przetrwałym lub nawrotowym ZBN (części pośredniej, odcinka tylnego lub całej błony naczyniowej); </w:t>
            </w:r>
          </w:p>
          <w:p w14:paraId="2CB2B7C6" w14:textId="77777777" w:rsidR="005373A6" w:rsidRPr="005373A6" w:rsidRDefault="005373A6" w:rsidP="007B698D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>niemożliwe do osiągnięcia stadium nieaktywne choroby przy dawce ≤ 10 mg prednizolonu (lub dawce równoważnej innego leku steroidowego) lub terapii lekami immunosupresyjnymi, lub kombinacji leczenia obu typami leków po kursie leczenia trwającym 15 tygodni. Choroba nieaktywna definiowana jest jako:</w:t>
            </w:r>
          </w:p>
          <w:p w14:paraId="5F40F7ED" w14:textId="6E8266B9" w:rsidR="005373A6" w:rsidRPr="005373A6" w:rsidRDefault="005373A6" w:rsidP="007B698D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>brak aktywnej zapalnej zmiany naczyniówki i siatkówki i/lub naczyń siatkówki</w:t>
            </w:r>
            <w:r w:rsidR="00E26E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74267F" w14:textId="1BABAF5C" w:rsidR="005373A6" w:rsidRPr="005373A6" w:rsidRDefault="005373A6" w:rsidP="007B698D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>stopień nacieków komórkowych w komorze przedniej oka ≤0,5+ według kryteriów SUN</w:t>
            </w:r>
            <w:r w:rsidR="00E26E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F5C974" w14:textId="77777777" w:rsidR="005373A6" w:rsidRPr="005373A6" w:rsidRDefault="005373A6" w:rsidP="007B698D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>stopień przymglenia ciała szklistego oka ≤0,5+ według kryteriów SUN</w:t>
            </w:r>
            <w:r w:rsidRPr="005373A6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14:paraId="543E2F85" w14:textId="77777777" w:rsidR="005373A6" w:rsidRPr="005373A6" w:rsidRDefault="005373A6" w:rsidP="007B698D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 xml:space="preserve">konieczność zmniejszenia dawki kortykosteroidów lub odstawienia leczenia immunosupresyjnego, u chorych z chorobą nieaktywną u których udokumentowano co najmniej 1 zaostrzenie choroby występujące w czasie do 28 dni od rozpoczęcia zmniejszania dawki kortykosteroidów lub stabilizacji po odstawieniu obu typu leków trwającej krócej niż 3 miesiące; </w:t>
            </w:r>
          </w:p>
          <w:p w14:paraId="70B1ECFC" w14:textId="77777777" w:rsidR="005373A6" w:rsidRPr="005373A6" w:rsidRDefault="005373A6" w:rsidP="007B698D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>występowanie przeciwwskazań lub objawów nietolerancji terapii z zastosowaniem kortykosteroidów lub leków immunosupresyjnych.</w:t>
            </w:r>
          </w:p>
          <w:p w14:paraId="74DD806C" w14:textId="710B88B0" w:rsidR="005373A6" w:rsidRPr="006B1DA7" w:rsidRDefault="006B1DA7" w:rsidP="006B1DA7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programu włączani są również chorzy, którzy byli uprzednio leczeni w ramach hospitalizacji według jednorodnych grup pacjentów (JGP) </w:t>
            </w:r>
            <w:r w:rsidR="00317B1A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pod warunkiem, że spełniali kryteria włączenia do programu. </w:t>
            </w:r>
          </w:p>
          <w:p w14:paraId="70949941" w14:textId="00A69E20" w:rsidR="005373A6" w:rsidRPr="00594413" w:rsidRDefault="005373A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Kobiety w wieku rozrodczym muszą wyrazić zgodę na świadomą kontrolę urodzeń w trakcie leczenia  </w:t>
            </w:r>
            <w:r w:rsidR="00317B1A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r w:rsidR="00317B1A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oraz w okresie do 5 miesięcy po zastosowaniu ostatniej dawki </w:t>
            </w:r>
            <w:r w:rsidR="00317B1A">
              <w:rPr>
                <w:rFonts w:ascii="Times New Roman" w:hAnsi="Times New Roman" w:cs="Times New Roman"/>
                <w:sz w:val="20"/>
                <w:szCs w:val="20"/>
              </w:rPr>
              <w:t>adalimumabu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C853B8" w14:textId="77777777" w:rsidR="00061BF6" w:rsidRPr="00594413" w:rsidRDefault="00061BF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06C20" w14:textId="77777777" w:rsidR="00AB0910" w:rsidRPr="00766B60" w:rsidRDefault="00AB0910" w:rsidP="007B698D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left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programie:</w:t>
            </w:r>
          </w:p>
          <w:p w14:paraId="2980B688" w14:textId="77777777" w:rsidR="005373A6" w:rsidRDefault="00527C31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pacjenta z programu z</w:t>
            </w:r>
            <w:r w:rsidR="005373A6">
              <w:rPr>
                <w:rFonts w:ascii="Times New Roman" w:hAnsi="Times New Roman" w:cs="Times New Roman"/>
                <w:sz w:val="20"/>
                <w:szCs w:val="20"/>
              </w:rPr>
              <w:t xml:space="preserve">godnie z kryteriami wyłączenia. </w:t>
            </w:r>
          </w:p>
          <w:p w14:paraId="4DEB703C" w14:textId="77777777" w:rsidR="00E26E93" w:rsidRDefault="005373A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>W przypadku braku powikłań leczenie prowadzone powinno być 24 miesiące.</w:t>
            </w:r>
          </w:p>
          <w:p w14:paraId="28F70D14" w14:textId="6018D192" w:rsidR="00E26E93" w:rsidRDefault="005373A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 xml:space="preserve">Za remisję należy uznać brak aktywności według kryteriów SUN trwający więcej niż 3 miesiące po odstawieniu leczenia. </w:t>
            </w:r>
          </w:p>
          <w:p w14:paraId="49E74E01" w14:textId="28BD8F8F" w:rsidR="009C20A9" w:rsidRPr="00594413" w:rsidRDefault="005373A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3A6">
              <w:rPr>
                <w:rFonts w:ascii="Times New Roman" w:hAnsi="Times New Roman" w:cs="Times New Roman"/>
                <w:sz w:val="20"/>
                <w:szCs w:val="20"/>
              </w:rPr>
              <w:t xml:space="preserve">W przypadku nawrotów pacjent może być włączony do programu zgodnie z kryteriami włączenia.  </w:t>
            </w:r>
          </w:p>
          <w:p w14:paraId="49A86AF5" w14:textId="77777777" w:rsidR="009C20A9" w:rsidRPr="00594413" w:rsidRDefault="009C20A9" w:rsidP="007B698D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1C16BD" w14:textId="77777777" w:rsidR="00AB0910" w:rsidRPr="00766B60" w:rsidRDefault="00EE0523" w:rsidP="007B698D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b/>
                <w:sz w:val="20"/>
                <w:szCs w:val="20"/>
              </w:rPr>
              <w:t>Kryteria wyłączenia</w:t>
            </w:r>
            <w:r w:rsidR="00AB0910" w:rsidRPr="00766B6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9A1336B" w14:textId="77777777" w:rsidR="00766B60" w:rsidRPr="00594413" w:rsidRDefault="00766B60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W przypadku wystąpienia co najmniej jednego z poniższych kryteriów pacjent zostaje wyłączony z programu:</w:t>
            </w:r>
          </w:p>
          <w:p w14:paraId="583E52C8" w14:textId="130CE1F5" w:rsidR="00766B60" w:rsidRPr="00766B60" w:rsidRDefault="00766B60" w:rsidP="007B698D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niepowodzenie leczenia - wystąpienie w co najmniej 1 oku co najmniej 1 z poniższych zmian w czasie co najmniej 6 tygodni (chorzy z aktywną postacią ZBN) od rozpoczęcia terapii </w:t>
            </w:r>
            <w:r w:rsidR="00317B1A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9FAA45C" w14:textId="5522950A" w:rsidR="00766B60" w:rsidRPr="00766B60" w:rsidRDefault="00766B60" w:rsidP="007B698D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powstanie nowych aktywnych zmian zapalnych naczyniówki lub siatkówki, lub naczyń siatkówki</w:t>
            </w:r>
            <w:r w:rsidR="00E26E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6E93"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80583B" w14:textId="2ABC80EB" w:rsidR="00766B60" w:rsidRPr="00766B60" w:rsidRDefault="00766B60" w:rsidP="007B698D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pogorszenie najlepszej skorygowanej ostrości wzroku do dali względem wartości początkowej o ≥ 15 liter (≥3 linie wg Snellena</w:t>
            </w:r>
            <w:r w:rsidR="00E26E93" w:rsidRPr="00766B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26E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6E93"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C59E1D" w14:textId="1CAA7A82" w:rsidR="00766B60" w:rsidRPr="00766B60" w:rsidRDefault="00766B60" w:rsidP="007B698D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stopień nacieków komórkowych w komorze przedniej oka oraz przymglenie ciała szklistego oka wynoszące </w:t>
            </w:r>
            <w:r w:rsidR="00B0797F">
              <w:rPr>
                <w:rFonts w:ascii="Times New Roman" w:hAnsi="Times New Roman" w:cs="Times New Roman"/>
                <w:sz w:val="20"/>
                <w:szCs w:val="20"/>
              </w:rPr>
              <w:t xml:space="preserve">≥0,5 dla pacjentów, którzy osiągnęli stopień 0 </w:t>
            </w: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według kryteriów SUN</w:t>
            </w:r>
            <w:r w:rsidR="00E26E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6E93"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D4F675E" w14:textId="77777777" w:rsidR="00766B60" w:rsidRPr="0013782C" w:rsidRDefault="00766B60" w:rsidP="007B698D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zwiększenie stopnia nacieków komórkowych w komorze przedniej oka lub przymglenie ciała szklistego o ≥ 2 stopnie lub zwiększenie z +3 na +4 według kryteriów SUN;</w:t>
            </w:r>
          </w:p>
          <w:p w14:paraId="6A3D8120" w14:textId="77777777" w:rsidR="00766B60" w:rsidRPr="00766B60" w:rsidRDefault="00766B60" w:rsidP="007B698D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</w:t>
            </w:r>
            <w:r w:rsidRPr="00854A0D">
              <w:rPr>
                <w:rFonts w:ascii="Times New Roman" w:hAnsi="Times New Roman" w:cs="Times New Roman"/>
                <w:sz w:val="20"/>
                <w:szCs w:val="20"/>
              </w:rPr>
              <w:t>na adalimumab;</w:t>
            </w: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8F8BC1" w14:textId="77777777" w:rsidR="00766B60" w:rsidRPr="00766B60" w:rsidRDefault="00766B60" w:rsidP="007B698D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wystąpienie działań niepożądanych związanych z lekiem uniemożliwiających jego dalsze stosowanie;</w:t>
            </w:r>
          </w:p>
          <w:p w14:paraId="21F150DE" w14:textId="77777777" w:rsidR="00766B60" w:rsidRPr="00766B60" w:rsidRDefault="00766B60" w:rsidP="007B698D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brak współpracy chorego z lekarzem prowadzącym:</w:t>
            </w:r>
          </w:p>
          <w:p w14:paraId="41B821C0" w14:textId="77777777" w:rsidR="00766B60" w:rsidRPr="00766B60" w:rsidRDefault="00766B60" w:rsidP="007B698D">
            <w:pPr>
              <w:pStyle w:val="Akapitzlist"/>
              <w:numPr>
                <w:ilvl w:val="0"/>
                <w:numId w:val="2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niestosowanie się do zaleceń (uchylani</w:t>
            </w:r>
            <w:r w:rsidR="003A3FE9">
              <w:rPr>
                <w:rFonts w:ascii="Times New Roman" w:hAnsi="Times New Roman" w:cs="Times New Roman"/>
                <w:sz w:val="20"/>
                <w:szCs w:val="20"/>
              </w:rPr>
              <w:t>e się od wykonywania badań labor</w:t>
            </w: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atoryjnych), </w:t>
            </w:r>
          </w:p>
          <w:p w14:paraId="4FF39911" w14:textId="532A9D79" w:rsidR="00766B60" w:rsidRPr="00766B60" w:rsidRDefault="00766B60" w:rsidP="007B698D">
            <w:pPr>
              <w:pStyle w:val="Akapitzlist"/>
              <w:numPr>
                <w:ilvl w:val="0"/>
                <w:numId w:val="2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nieregularne przyjmowanie leków (pominięcie 2 kolejnych dawek leku)</w:t>
            </w:r>
            <w:r w:rsidR="00E26E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44049B" w14:textId="77777777" w:rsidR="00766B60" w:rsidRPr="00766B60" w:rsidRDefault="00766B60" w:rsidP="007B698D">
            <w:pPr>
              <w:pStyle w:val="Akapitzlist"/>
              <w:numPr>
                <w:ilvl w:val="0"/>
                <w:numId w:val="26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66B60">
              <w:rPr>
                <w:rFonts w:ascii="Times New Roman" w:hAnsi="Times New Roman" w:cs="Times New Roman"/>
                <w:sz w:val="20"/>
                <w:szCs w:val="20"/>
              </w:rPr>
              <w:t>brak współpracy w monitorowaniu leczenia (niezgłaszanie się na wizyty kontrolne).</w:t>
            </w:r>
          </w:p>
          <w:p w14:paraId="7F718991" w14:textId="77777777" w:rsidR="005373A6" w:rsidRDefault="005373A6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78905" w14:textId="77777777" w:rsidR="005373A6" w:rsidRPr="0013782C" w:rsidRDefault="005373A6" w:rsidP="007B698D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left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b/>
                <w:sz w:val="20"/>
                <w:szCs w:val="20"/>
              </w:rPr>
              <w:t>Przeciwwskazania do udziału w programie:</w:t>
            </w:r>
          </w:p>
          <w:p w14:paraId="39105CB5" w14:textId="77777777" w:rsidR="0013782C" w:rsidRPr="0013782C" w:rsidRDefault="0013782C" w:rsidP="007B698D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W przypadku wystąpienia co najmniej jednego z poniższych kryteriów pacjent nie może być włączony programu:</w:t>
            </w:r>
          </w:p>
          <w:p w14:paraId="43C16811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tabs>
                <w:tab w:val="left" w:pos="431"/>
              </w:tabs>
              <w:spacing w:before="60" w:after="60" w:line="276" w:lineRule="auto"/>
              <w:ind w:left="7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aktywne zakażenia (ostre lub przewlekłe) bakteryjne, wirusowe, grzybicze lub  pasożytnicze (szczególnie gruźlica, infekcja wirusem HIV lub WZW typu B);</w:t>
            </w:r>
          </w:p>
          <w:p w14:paraId="6DC2259F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tabs>
                <w:tab w:val="left" w:pos="431"/>
              </w:tabs>
              <w:spacing w:before="60" w:after="60" w:line="276" w:lineRule="auto"/>
              <w:ind w:left="714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umiarkowana lub ciężka niewydolność mięśnia sercowego (klasa III/IV według NYHA);</w:t>
            </w:r>
          </w:p>
          <w:p w14:paraId="4C2A2F9C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niestabilna choroba wieńcowa; </w:t>
            </w:r>
          </w:p>
          <w:p w14:paraId="09714E6A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przewlekła niewydolność oddechowa; </w:t>
            </w:r>
          </w:p>
          <w:p w14:paraId="5AD9EAB5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przewlekła niewydolność nerek; </w:t>
            </w:r>
          </w:p>
          <w:p w14:paraId="750E166A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przewlekła niewydolność wątroby; </w:t>
            </w:r>
          </w:p>
          <w:p w14:paraId="387ED998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zespół demielinizacyjny lub objawy przypominające ten zespół; </w:t>
            </w:r>
          </w:p>
          <w:p w14:paraId="756E6412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choroba alkoholowa, poalkoholowe uszkodzenie wątroby lub każda czynna postępująca choroba wątroby;</w:t>
            </w:r>
          </w:p>
          <w:p w14:paraId="27020E29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ciąża lub karmienie piersią;</w:t>
            </w:r>
          </w:p>
          <w:p w14:paraId="14E60C0B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rozpoznanie stanów przednowotworowych lub nowotworów złośliwych w okresie do 5 lat poprzedzających moment kwalifikowania do programu;</w:t>
            </w:r>
          </w:p>
          <w:p w14:paraId="5868D0F8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ZBN przedniej komory oka;</w:t>
            </w:r>
          </w:p>
          <w:p w14:paraId="4825A52B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podejrzewane lub potwierdzone zakaźne ZBN;</w:t>
            </w:r>
          </w:p>
          <w:p w14:paraId="673E2BC0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choroidopatia pełzająca;</w:t>
            </w:r>
          </w:p>
          <w:p w14:paraId="57214961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zmętnienie rogówki lub soczewek uniemożliwiające ocenę dna oka;</w:t>
            </w:r>
          </w:p>
          <w:p w14:paraId="3308E5E8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zaćma kwalifikowana do operacji i uniemożliwiająca monitorowanie wyników leczenia w programie przez okres 24 miesiące;</w:t>
            </w:r>
          </w:p>
          <w:p w14:paraId="7768BCAF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niekontrolowana jaskra (brak regulacji ciśnienia wewnątrzgałkowego i stabilizacji zmian w polu widzenia przy ≥2 liczbie leków przeciwjaskrowych) mogąca wymagać leczenia operacyjnego w ciągu 24 miesięcy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1B89C0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najlepsza skorygowana ostrość wzroku do dali &lt;0,4 według Snellena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&lt;20 liter EDTRS) w co najmniej jednym oku;</w:t>
            </w:r>
          </w:p>
          <w:p w14:paraId="23804E1D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proliferacyjna retinopatia cukrzycowa lub nieproliferacyjna retinopatia cukrzycowa o ciężkim przebiegu bądź istotny klinicznie obrzęk plamki żółtej z powodu retinopatii cukrzycowej;</w:t>
            </w:r>
          </w:p>
          <w:p w14:paraId="0C416D54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wysiękowa postać zwyrodnienie plamki związanego z wiekiem;</w:t>
            </w:r>
          </w:p>
          <w:p w14:paraId="450BEB3C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patologie złącza szklistkowo-siatkówkowego potencjalnie prowadzące do uszkodzenia struktury plamki żółtej niezależnie od procesu zapalnego;</w:t>
            </w:r>
          </w:p>
          <w:p w14:paraId="754C2DB7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brak przejrzystości ciała szklistego uniemożliwiający monitorowanie przebiegu leczenia;</w:t>
            </w:r>
          </w:p>
          <w:p w14:paraId="0682CC48" w14:textId="77777777" w:rsid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>obrzęk plamki żółtej jako jedyny objaw ZBN;</w:t>
            </w:r>
          </w:p>
          <w:p w14:paraId="62E390F0" w14:textId="77777777" w:rsidR="0013782C" w:rsidRPr="0013782C" w:rsidRDefault="0013782C" w:rsidP="007B698D">
            <w:pPr>
              <w:pStyle w:val="Akapitzlist"/>
              <w:numPr>
                <w:ilvl w:val="0"/>
                <w:numId w:val="27"/>
              </w:numPr>
              <w:spacing w:before="60" w:after="60" w:line="276" w:lineRule="auto"/>
              <w:ind w:left="743"/>
              <w:rPr>
                <w:rFonts w:ascii="Times New Roman" w:hAnsi="Times New Roman" w:cs="Times New Roman"/>
                <w:sz w:val="20"/>
                <w:szCs w:val="20"/>
              </w:rPr>
            </w:pPr>
            <w:r w:rsidRPr="0013782C">
              <w:rPr>
                <w:rFonts w:ascii="Times New Roman" w:hAnsi="Times New Roman" w:cs="Times New Roman"/>
                <w:sz w:val="20"/>
                <w:szCs w:val="20"/>
              </w:rPr>
              <w:t xml:space="preserve">zapalenie nadtwardówki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twardówki.</w:t>
            </w:r>
          </w:p>
        </w:tc>
        <w:tc>
          <w:tcPr>
            <w:tcW w:w="1336" w:type="pct"/>
          </w:tcPr>
          <w:p w14:paraId="4F3C3C86" w14:textId="77777777" w:rsidR="00AB0910" w:rsidRPr="00594413" w:rsidRDefault="00AB0910" w:rsidP="007B698D">
            <w:pPr>
              <w:pStyle w:val="Akapitzlist"/>
              <w:numPr>
                <w:ilvl w:val="0"/>
                <w:numId w:val="11"/>
              </w:numPr>
              <w:spacing w:before="60" w:after="60" w:line="276" w:lineRule="auto"/>
              <w:ind w:left="4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Dawkowanie:</w:t>
            </w:r>
          </w:p>
          <w:p w14:paraId="54EACBC0" w14:textId="4DB89CBE" w:rsidR="00DB6228" w:rsidRPr="00594413" w:rsidRDefault="00B15918" w:rsidP="007B698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Dawka początkowa </w:t>
            </w:r>
            <w:r w:rsidR="00317B1A">
              <w:rPr>
                <w:rFonts w:ascii="Times New Roman" w:hAnsi="Times New Roman" w:cs="Times New Roman"/>
                <w:sz w:val="20"/>
                <w:szCs w:val="20"/>
              </w:rPr>
              <w:t>adalimumabu</w:t>
            </w:r>
            <w:r w:rsidR="00317B1A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B068F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dorosłych </w:t>
            </w:r>
            <w:r w:rsidR="007B068F" w:rsidRPr="005944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acjentów wynosi 80</w:t>
            </w:r>
            <w:bookmarkStart w:id="0" w:name="_GoBack"/>
            <w:bookmarkEnd w:id="0"/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mg podskórnie, a</w:t>
            </w:r>
            <w:r w:rsidR="007B068F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następnie po upływie jednego tygodnia od podania dawki</w:t>
            </w:r>
            <w:r w:rsidR="007B068F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początkowej stosuje się dawkę 40 mg podskórnie </w:t>
            </w:r>
            <w:r w:rsidR="009B7330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podając </w:t>
            </w:r>
            <w:r w:rsidR="00317B1A">
              <w:rPr>
                <w:rFonts w:ascii="Times New Roman" w:hAnsi="Times New Roman" w:cs="Times New Roman"/>
                <w:sz w:val="20"/>
                <w:szCs w:val="20"/>
              </w:rPr>
              <w:t>adalimumab</w:t>
            </w:r>
            <w:r w:rsidR="00317B1A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co drugi</w:t>
            </w:r>
            <w:r w:rsidR="007B068F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tydzień</w:t>
            </w:r>
            <w:r w:rsidR="007B068F" w:rsidRPr="005944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97743E" w14:textId="77777777" w:rsidR="007B068F" w:rsidRPr="00594413" w:rsidRDefault="007B068F" w:rsidP="007B698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35327" w14:textId="77777777" w:rsidR="009D2283" w:rsidRPr="00594413" w:rsidRDefault="001B539D" w:rsidP="007B698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Chorzy stosujący terapię steroi</w:t>
            </w:r>
            <w:r w:rsidR="00A076BD" w:rsidRPr="00594413">
              <w:rPr>
                <w:rFonts w:ascii="Times New Roman" w:hAnsi="Times New Roman" w:cs="Times New Roman"/>
                <w:sz w:val="20"/>
                <w:szCs w:val="20"/>
              </w:rPr>
              <w:t>dową w chwili włączenia do programu powinni ją kontynuować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D2283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Dawka kortykosteroidu powinna być </w:t>
            </w:r>
            <w:r w:rsidR="00ED5C1A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jednak </w:t>
            </w:r>
            <w:r w:rsidR="009D2283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systematycznie </w:t>
            </w:r>
            <w:r w:rsidR="007B068F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zmniejszana zgodnie z zaleceniami przedstawionymi w odpowiedniej Charakterystyce Produktu Leczniczego. </w:t>
            </w:r>
            <w:r w:rsidR="009D2283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A9D6D5" w14:textId="77777777" w:rsidR="00DB6228" w:rsidRPr="00594413" w:rsidRDefault="00DB6228" w:rsidP="007B698D">
            <w:pPr>
              <w:spacing w:before="60" w:after="60"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pct"/>
          </w:tcPr>
          <w:p w14:paraId="64A39726" w14:textId="3E6200F6" w:rsidR="00AB0910" w:rsidRPr="00594413" w:rsidRDefault="00AB0910" w:rsidP="007B698D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left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przy kwalifikacji do leczenia </w:t>
            </w:r>
            <w:r w:rsidR="00317B1A">
              <w:rPr>
                <w:rFonts w:ascii="Times New Roman" w:hAnsi="Times New Roman" w:cs="Times New Roman"/>
                <w:b/>
                <w:sz w:val="20"/>
                <w:szCs w:val="20"/>
              </w:rPr>
              <w:t>adalimumabem</w:t>
            </w:r>
            <w:r w:rsidR="001B539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2EA6A9D" w14:textId="77777777" w:rsidR="00D056A7" w:rsidRPr="00594413" w:rsidRDefault="00D056A7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W ramach kwalifikacji chorego do udziału w programie należy wykonać następujące badania:</w:t>
            </w:r>
          </w:p>
          <w:p w14:paraId="2608F2C3" w14:textId="77777777" w:rsidR="009549A9" w:rsidRPr="00594413" w:rsidRDefault="009549A9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morfologia krwi obwodowej</w:t>
            </w:r>
            <w:r w:rsidR="001B5F3C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="001B5F3C" w:rsidRPr="00594413">
              <w:rPr>
                <w:rFonts w:ascii="Times New Roman" w:hAnsi="Times New Roman" w:cs="Times New Roman"/>
                <w:sz w:val="20"/>
                <w:szCs w:val="20"/>
              </w:rPr>
              <w:t>morfologia krwi obwodowej</w:t>
            </w:r>
            <w:r w:rsidR="001B5F3C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55E1B4" w14:textId="77777777" w:rsidR="00D056A7" w:rsidRPr="00594413" w:rsidRDefault="00D056A7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płytki krwi (PLT);</w:t>
            </w:r>
          </w:p>
          <w:p w14:paraId="39C09F71" w14:textId="77777777" w:rsidR="00D056A7" w:rsidRPr="00594413" w:rsidRDefault="00D056A7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odczyn Biernackiego (OB); </w:t>
            </w:r>
          </w:p>
          <w:p w14:paraId="2DB17EDB" w14:textId="77777777" w:rsidR="00D056A7" w:rsidRPr="00594413" w:rsidRDefault="009549A9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aminotransferaza alaninowa</w:t>
            </w:r>
            <w:r w:rsidR="00314C62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  <w:r w:rsidR="00D056A7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5C5202" w14:textId="77777777" w:rsidR="00D056A7" w:rsidRPr="00594413" w:rsidRDefault="009549A9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aminotransferaza asparaginianowa</w:t>
            </w:r>
            <w:r w:rsidR="00314C62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AspAT);</w:t>
            </w:r>
            <w:r w:rsidR="00D056A7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C2BDEA" w14:textId="77777777" w:rsidR="00D056A7" w:rsidRPr="00594413" w:rsidRDefault="009549A9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poziom kreatyniny w surowicy;</w:t>
            </w:r>
            <w:r w:rsidR="00D056A7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FC93C6" w14:textId="77777777" w:rsidR="007314E6" w:rsidRPr="00594413" w:rsidRDefault="001B539D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białko C-</w:t>
            </w:r>
            <w:r w:rsidR="009549A9" w:rsidRPr="00594413">
              <w:rPr>
                <w:rFonts w:ascii="Times New Roman" w:hAnsi="Times New Roman" w:cs="Times New Roman"/>
                <w:sz w:val="20"/>
                <w:szCs w:val="20"/>
              </w:rPr>
              <w:t>reaktywne;</w:t>
            </w:r>
            <w:r w:rsidR="007314E6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BDDDA3" w14:textId="77777777" w:rsidR="007314E6" w:rsidRPr="00594413" w:rsidRDefault="009549A9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badanie ogólne moczu</w:t>
            </w:r>
            <w:r w:rsidR="001B539D"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314E6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0EC6D5D" w14:textId="77777777" w:rsidR="004213E0" w:rsidRDefault="009549A9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próba tuberkulinowa lub test Quantiferon</w:t>
            </w:r>
            <w:r w:rsidR="00061BF6" w:rsidRPr="005944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2C56A3" w14:textId="0D7A1B0B" w:rsidR="004213E0" w:rsidRPr="004A7499" w:rsidRDefault="004213E0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7499">
              <w:rPr>
                <w:rFonts w:ascii="Times New Roman" w:eastAsia="Arial" w:hAnsi="Times New Roman" w:cs="Times New Roman"/>
                <w:sz w:val="20"/>
                <w:szCs w:val="20"/>
              </w:rPr>
              <w:t>testu na kiłę</w:t>
            </w:r>
            <w:r w:rsidR="00597C3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  <w:r w:rsidRPr="004A74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14:paraId="55047A7D" w14:textId="6192DB58" w:rsidR="007314E6" w:rsidRPr="004213E0" w:rsidRDefault="004213E0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testu na </w:t>
            </w:r>
            <w:r w:rsidRPr="004A7499">
              <w:rPr>
                <w:rFonts w:ascii="Times New Roman" w:eastAsia="Arial" w:hAnsi="Times New Roman" w:cs="Times New Roman"/>
                <w:sz w:val="20"/>
                <w:szCs w:val="20"/>
              </w:rPr>
              <w:t>boreliozę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DBEDFF" w14:textId="77777777" w:rsidR="007314E6" w:rsidRPr="00594413" w:rsidRDefault="007314E6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obecność antygenu </w:t>
            </w:r>
            <w:r w:rsidR="009549A9" w:rsidRPr="00594413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460848" w14:textId="77777777" w:rsidR="007314E6" w:rsidRPr="00594413" w:rsidRDefault="001B539D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przeciwciała anty-</w:t>
            </w:r>
            <w:r w:rsidR="009549A9" w:rsidRPr="00594413">
              <w:rPr>
                <w:rFonts w:ascii="Times New Roman" w:hAnsi="Times New Roman" w:cs="Times New Roman"/>
                <w:sz w:val="20"/>
                <w:szCs w:val="20"/>
              </w:rPr>
              <w:t>HCV;</w:t>
            </w:r>
            <w:r w:rsidR="007314E6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B8984A" w14:textId="77777777" w:rsidR="007314E6" w:rsidRPr="00594413" w:rsidRDefault="007314E6" w:rsidP="007B698D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obecność</w:t>
            </w:r>
            <w:r w:rsidR="009549A9" w:rsidRPr="00594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antygen</w:t>
            </w:r>
            <w:r w:rsidRPr="00594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="009549A9" w:rsidRPr="00594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wirusa HIV</w:t>
            </w:r>
            <w:r w:rsidRPr="00594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549A9" w:rsidRPr="00594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(HIV Ag/Ab Combo);</w:t>
            </w:r>
            <w:r w:rsidRPr="00594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CB6F21A" w14:textId="77777777" w:rsidR="007314E6" w:rsidRPr="00594413" w:rsidRDefault="009549A9" w:rsidP="007B698D">
            <w:pPr>
              <w:pStyle w:val="Akapitzlist"/>
              <w:numPr>
                <w:ilvl w:val="0"/>
                <w:numId w:val="20"/>
              </w:numPr>
              <w:tabs>
                <w:tab w:val="left" w:pos="3027"/>
              </w:tabs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stężenie elektrolitów w surowicy;</w:t>
            </w:r>
            <w:r w:rsidR="007314E6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1729129" w14:textId="77777777" w:rsidR="007314E6" w:rsidRPr="00594413" w:rsidRDefault="009549A9" w:rsidP="007B698D">
            <w:pPr>
              <w:pStyle w:val="Akapitzlist"/>
              <w:numPr>
                <w:ilvl w:val="0"/>
                <w:numId w:val="20"/>
              </w:numPr>
              <w:tabs>
                <w:tab w:val="left" w:pos="3027"/>
              </w:tabs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RTG klatki piersiowej</w:t>
            </w:r>
            <w:r w:rsidR="00D056A7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z opisem</w:t>
            </w:r>
            <w:r w:rsidR="001B539D">
              <w:rPr>
                <w:rFonts w:ascii="Times New Roman" w:hAnsi="Times New Roman" w:cs="Times New Roman"/>
                <w:sz w:val="20"/>
                <w:szCs w:val="20"/>
              </w:rPr>
              <w:t xml:space="preserve"> (do 6</w:t>
            </w:r>
            <w:r w:rsidR="007314E6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miesięcy przed kwalifikacją</w:t>
            </w:r>
            <w:r w:rsidR="000230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314E6" w:rsidRPr="005944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3790D6" w14:textId="77777777" w:rsidR="007314E6" w:rsidRDefault="007314E6" w:rsidP="007B698D">
            <w:pPr>
              <w:pStyle w:val="Akapitzlist"/>
              <w:numPr>
                <w:ilvl w:val="0"/>
                <w:numId w:val="20"/>
              </w:numPr>
              <w:tabs>
                <w:tab w:val="left" w:pos="3027"/>
              </w:tabs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EKG z opisem;</w:t>
            </w:r>
          </w:p>
          <w:p w14:paraId="25BC2B66" w14:textId="77777777" w:rsidR="004213E0" w:rsidRDefault="004213E0" w:rsidP="007B698D">
            <w:pPr>
              <w:pStyle w:val="Akapitzlist"/>
              <w:numPr>
                <w:ilvl w:val="0"/>
                <w:numId w:val="20"/>
              </w:numPr>
              <w:tabs>
                <w:tab w:val="left" w:pos="3027"/>
              </w:tabs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konsultację neurologiczną z ewentualnym badaniem MRI do decyzji lekarza konsultującego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E6D893" w14:textId="6FA743A5" w:rsidR="008D02FA" w:rsidRDefault="0089439B">
            <w:pPr>
              <w:pStyle w:val="Akapitzlist"/>
              <w:numPr>
                <w:ilvl w:val="0"/>
                <w:numId w:val="20"/>
              </w:numPr>
              <w:tabs>
                <w:tab w:val="left" w:pos="3027"/>
              </w:tabs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210">
              <w:rPr>
                <w:rFonts w:ascii="Times New Roman" w:hAnsi="Times New Roman" w:cs="Times New Roman"/>
                <w:sz w:val="20"/>
                <w:szCs w:val="20"/>
              </w:rPr>
              <w:t>konsultację ginekologiczną z wykluczeniem ciąży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0A9FF8" w14:textId="77777777" w:rsidR="007314E6" w:rsidRPr="00D5373C" w:rsidRDefault="00436793">
            <w:pPr>
              <w:pStyle w:val="Akapitzlist"/>
              <w:numPr>
                <w:ilvl w:val="0"/>
                <w:numId w:val="20"/>
              </w:numPr>
              <w:tabs>
                <w:tab w:val="left" w:pos="3027"/>
              </w:tabs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373C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="00527C31" w:rsidRPr="00D5373C">
              <w:rPr>
                <w:rFonts w:ascii="Times New Roman" w:hAnsi="Times New Roman" w:cs="Times New Roman"/>
                <w:sz w:val="20"/>
                <w:szCs w:val="20"/>
              </w:rPr>
              <w:t xml:space="preserve">stopnia nacieków komórkowych w komorze przedniej oka oraz stopnia przymglenia ciała szklistego </w:t>
            </w:r>
            <w:r w:rsidRPr="00D5373C">
              <w:rPr>
                <w:rFonts w:ascii="Times New Roman" w:hAnsi="Times New Roman" w:cs="Times New Roman"/>
                <w:sz w:val="20"/>
                <w:szCs w:val="20"/>
              </w:rPr>
              <w:t>według kryteriów SUN</w:t>
            </w:r>
            <w:r w:rsidR="00527C31" w:rsidRPr="00D5373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314E6" w:rsidRPr="00D537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2A7B5B4" w14:textId="19ED76F7" w:rsidR="007314E6" w:rsidRDefault="00527C31" w:rsidP="007B698D">
            <w:pPr>
              <w:pStyle w:val="Akapitzlist"/>
              <w:numPr>
                <w:ilvl w:val="0"/>
                <w:numId w:val="20"/>
              </w:numPr>
              <w:tabs>
                <w:tab w:val="left" w:pos="3027"/>
              </w:tabs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badanie okulistyczne z oceną najlepszej skorygowanej ostrości wzroku </w:t>
            </w:r>
            <w:r w:rsidR="007314E6" w:rsidRPr="00594413">
              <w:rPr>
                <w:rFonts w:ascii="Times New Roman" w:hAnsi="Times New Roman" w:cs="Times New Roman"/>
                <w:sz w:val="20"/>
                <w:szCs w:val="20"/>
              </w:rPr>
              <w:t>na tablicach Snellena lub ETDRS</w:t>
            </w:r>
            <w:r w:rsidR="007B698D">
              <w:rPr>
                <w:rFonts w:ascii="Times New Roman" w:hAnsi="Times New Roman" w:cs="Times New Roman"/>
                <w:sz w:val="20"/>
                <w:szCs w:val="20"/>
              </w:rPr>
              <w:t xml:space="preserve">, pomiarem ciśnienia wewnątrzgałkowego, oceną dna oka i plamki żółtej w badaniu </w:t>
            </w:r>
            <w:r w:rsidR="00E11A89">
              <w:rPr>
                <w:rFonts w:ascii="Times New Roman" w:hAnsi="Times New Roman" w:cs="Times New Roman"/>
                <w:sz w:val="20"/>
                <w:szCs w:val="20"/>
              </w:rPr>
              <w:t>optycznej koherentnej tomografii (</w:t>
            </w:r>
            <w:r w:rsidR="007B698D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 w:rsidR="00E11A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F6C94">
              <w:rPr>
                <w:rFonts w:ascii="Times New Roman" w:hAnsi="Times New Roman" w:cs="Times New Roman"/>
                <w:sz w:val="20"/>
                <w:szCs w:val="20"/>
              </w:rPr>
              <w:t>, ocena gałki ocznej w badaniu ultrasonograficznym typ B</w:t>
            </w:r>
            <w:r w:rsidR="008D02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F26E3D" w14:textId="77777777" w:rsidR="007B698D" w:rsidRPr="007B698D" w:rsidRDefault="007B698D" w:rsidP="007B698D">
            <w:pPr>
              <w:pStyle w:val="Akapitzlist"/>
              <w:tabs>
                <w:tab w:val="left" w:pos="3027"/>
              </w:tabs>
              <w:spacing w:before="60" w:after="60"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7C0EAD" w14:textId="7CAA0763" w:rsidR="00AB0910" w:rsidRPr="00594413" w:rsidRDefault="00AB0910" w:rsidP="007B698D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left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  <w:r w:rsidR="00961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7B1A">
              <w:rPr>
                <w:rFonts w:ascii="Times New Roman" w:hAnsi="Times New Roman" w:cs="Times New Roman"/>
                <w:b/>
                <w:sz w:val="20"/>
                <w:szCs w:val="20"/>
              </w:rPr>
              <w:t>adalimumabem</w:t>
            </w: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B4BDEA3" w14:textId="77777777" w:rsidR="007B698D" w:rsidRPr="007B698D" w:rsidRDefault="007B698D" w:rsidP="007B698D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ind w:lef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Monitorowanie stanu miejscowego na podstawie badania okulistycznego:</w:t>
            </w:r>
          </w:p>
          <w:p w14:paraId="18A8DA40" w14:textId="77777777" w:rsidR="007B698D" w:rsidRDefault="007B698D" w:rsidP="007B698D">
            <w:pPr>
              <w:pStyle w:val="Akapitzlist"/>
              <w:numPr>
                <w:ilvl w:val="0"/>
                <w:numId w:val="31"/>
              </w:numPr>
              <w:spacing w:before="60" w:after="60" w:line="276" w:lineRule="auto"/>
              <w:ind w:left="765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przed podaniem pierwszej dawki leku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C98439" w14:textId="77777777" w:rsidR="007B698D" w:rsidRDefault="007B698D" w:rsidP="007B698D">
            <w:pPr>
              <w:pStyle w:val="Akapitzlist"/>
              <w:numPr>
                <w:ilvl w:val="0"/>
                <w:numId w:val="31"/>
              </w:numPr>
              <w:spacing w:before="60" w:after="60" w:line="276" w:lineRule="auto"/>
              <w:ind w:left="765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przed podaniem 5 dawki leku z oceną skuteczności leczenia w stosunku do stanu  wyjściowego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E2304F" w14:textId="77777777" w:rsidR="007B698D" w:rsidRPr="007B698D" w:rsidRDefault="007B698D" w:rsidP="007B698D">
            <w:pPr>
              <w:pStyle w:val="Akapitzlist"/>
              <w:numPr>
                <w:ilvl w:val="0"/>
                <w:numId w:val="31"/>
              </w:numPr>
              <w:spacing w:before="60" w:after="60" w:line="276" w:lineRule="auto"/>
              <w:ind w:left="765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przed podaniem kolejnej 5 dawki leku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96429FB" w14:textId="77777777" w:rsidR="007B698D" w:rsidRPr="007B698D" w:rsidRDefault="007B698D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Badanie okulistyczne powinno obejmować:</w:t>
            </w:r>
          </w:p>
          <w:p w14:paraId="32AB4F96" w14:textId="2E4A47FF" w:rsidR="007B698D" w:rsidRPr="007B698D" w:rsidRDefault="007B698D" w:rsidP="007B698D">
            <w:pPr>
              <w:pStyle w:val="Akapitzlist"/>
              <w:numPr>
                <w:ilvl w:val="0"/>
                <w:numId w:val="28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cenę n</w:t>
            </w: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ajlepszej skorygowanej ostrości wzroku do dali na tablicach Snellena lub EDTRS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18F951" w14:textId="72B8C31F" w:rsidR="007B698D" w:rsidRPr="007B698D" w:rsidRDefault="007B698D" w:rsidP="007B698D">
            <w:pPr>
              <w:pStyle w:val="Akapitzlist"/>
              <w:numPr>
                <w:ilvl w:val="0"/>
                <w:numId w:val="28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pomiar ciśnienia wewnątrzgałkowego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2191BC" w14:textId="05A38347" w:rsidR="007B698D" w:rsidRPr="007B698D" w:rsidRDefault="007B698D" w:rsidP="007B698D">
            <w:pPr>
              <w:pStyle w:val="Akapitzlist"/>
              <w:numPr>
                <w:ilvl w:val="0"/>
                <w:numId w:val="28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ocenę przedniego odcinka i dna oka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7C33" w:rsidRPr="007B6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E0B622" w14:textId="77777777" w:rsidR="00E11A89" w:rsidRPr="00E11A89" w:rsidRDefault="007B698D" w:rsidP="00E11A89">
            <w:pPr>
              <w:pStyle w:val="Akapitzlist"/>
              <w:numPr>
                <w:ilvl w:val="0"/>
                <w:numId w:val="28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ocena plamki w badaniu optycznej koherentnej tomografii (OCT)</w:t>
            </w:r>
            <w:r w:rsidR="00E11A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B81237" w14:textId="77777777" w:rsidR="007B698D" w:rsidRPr="007B698D" w:rsidRDefault="007B698D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Kryteria oceny skuteczności. Pogorszenie oceniane jest zgodnie z kryteriami wyłączenia z programu. Za poprawę uważa się:</w:t>
            </w:r>
          </w:p>
          <w:p w14:paraId="2B9F95FB" w14:textId="6CEFE2F4" w:rsidR="007B698D" w:rsidRPr="007B698D" w:rsidRDefault="007B698D" w:rsidP="007B698D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zmniejszenie liczby komórek w komorze przedniej lub zmniejszenie przymglenia ciała szklistego o ≤ 2 według kryteriów SUN</w:t>
            </w:r>
            <w:r w:rsidR="00EC5B39">
              <w:rPr>
                <w:rFonts w:ascii="Times New Roman" w:hAnsi="Times New Roman" w:cs="Times New Roman"/>
                <w:sz w:val="20"/>
                <w:szCs w:val="20"/>
              </w:rPr>
              <w:t xml:space="preserve"> przy stanie początkowym większym lub równym 2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499B65" w14:textId="14121CA3" w:rsidR="007B698D" w:rsidRPr="007B698D" w:rsidRDefault="007B698D" w:rsidP="007B698D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zmniejszenia liczby komórek w komorze przedniej lub przymglenia ciała szklistego do poziomu 0 według kryteriów SUN</w:t>
            </w:r>
            <w:r w:rsidR="00EC5B39">
              <w:rPr>
                <w:rFonts w:ascii="Times New Roman" w:hAnsi="Times New Roman" w:cs="Times New Roman"/>
                <w:sz w:val="20"/>
                <w:szCs w:val="20"/>
              </w:rPr>
              <w:t xml:space="preserve"> przy stanie początkowym mniejszym niż 2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7C33" w:rsidRPr="007B6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DB4A08" w14:textId="15E15C34" w:rsidR="007B698D" w:rsidRPr="007B698D" w:rsidRDefault="007B698D" w:rsidP="007B698D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zmniejszenie się lub brak aktywnych zmian zapalnych naczyniówki lub siatkówki, lub naczyń siatkówki</w:t>
            </w:r>
            <w:r w:rsidR="00597C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B3F4AB" w14:textId="77777777" w:rsidR="00C64E31" w:rsidRDefault="007B698D" w:rsidP="007B698D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>poprawę najlepszej skorygowanej ostrości wzroku o 3 linie według Snellena lub 15 liter na tablicy EDTRS  w stosunku do wartości wyjściowych bądź stabilizację ostrości wzroku</w:t>
            </w:r>
            <w:r w:rsidR="00C64E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B6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BDFCD8" w14:textId="77777777" w:rsidR="00C64E31" w:rsidRDefault="00C64E31" w:rsidP="00C64E31">
            <w:pPr>
              <w:pStyle w:val="Akapitzlist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B134" w14:textId="77777777" w:rsidR="00C64E31" w:rsidRDefault="007B698D" w:rsidP="00C64E31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ind w:lef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Monitorowanie stanu ogólnego na podstawie badań</w:t>
            </w:r>
            <w:r w:rsidR="00C64E31" w:rsidRPr="00C64E3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2FDD5A" w14:textId="77777777" w:rsidR="00C64E31" w:rsidRDefault="007B698D" w:rsidP="00C64E31">
            <w:pPr>
              <w:pStyle w:val="Akapitzlist"/>
              <w:numPr>
                <w:ilvl w:val="0"/>
                <w:numId w:val="32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przed podaniem 3 dawki leku</w:t>
            </w:r>
            <w:r w:rsidR="00C64E31" w:rsidRPr="00C64E31">
              <w:rPr>
                <w:rFonts w:ascii="Times New Roman" w:hAnsi="Times New Roman" w:cs="Times New Roman"/>
                <w:sz w:val="20"/>
                <w:szCs w:val="20"/>
              </w:rPr>
              <w:t xml:space="preserve"> (morfologia krwi </w:t>
            </w: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obwodowej, CRP, OB, AlAT, AspAT)</w:t>
            </w:r>
            <w:r w:rsidR="00C64E3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4B87C8" w14:textId="77777777" w:rsidR="00C64E31" w:rsidRDefault="007B698D" w:rsidP="00C64E31">
            <w:pPr>
              <w:pStyle w:val="Akapitzlist"/>
              <w:numPr>
                <w:ilvl w:val="0"/>
                <w:numId w:val="32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 xml:space="preserve">przed podaniem 5 dawki leku </w:t>
            </w:r>
            <w:r w:rsidR="00C64E31" w:rsidRPr="00C64E31">
              <w:rPr>
                <w:rFonts w:ascii="Times New Roman" w:hAnsi="Times New Roman" w:cs="Times New Roman"/>
                <w:sz w:val="20"/>
                <w:szCs w:val="20"/>
              </w:rPr>
              <w:t xml:space="preserve">(morfologia krwi </w:t>
            </w: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obwodowej, CRP, OB, AlAT, AspAT)</w:t>
            </w:r>
            <w:r w:rsidR="00C64E3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A4E570" w14:textId="77777777" w:rsidR="00C64E31" w:rsidRDefault="007B698D" w:rsidP="00C64E31">
            <w:pPr>
              <w:pStyle w:val="Akapitzlist"/>
              <w:numPr>
                <w:ilvl w:val="0"/>
                <w:numId w:val="32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 xml:space="preserve">przed podaniem kolejnej 5 dawki leku </w:t>
            </w:r>
            <w:r w:rsidR="00C64E31" w:rsidRPr="00C64E31">
              <w:rPr>
                <w:rFonts w:ascii="Times New Roman" w:hAnsi="Times New Roman" w:cs="Times New Roman"/>
                <w:sz w:val="20"/>
                <w:szCs w:val="20"/>
              </w:rPr>
              <w:t xml:space="preserve">(morfologia krwi </w:t>
            </w: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obwodowej, CRP, OB, AlAT, AspAT)</w:t>
            </w:r>
            <w:r w:rsidR="00C64E3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do decyzji lekarza prowadzącego</w:t>
            </w:r>
            <w:r w:rsidR="00C64E3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02D51A" w14:textId="77777777" w:rsidR="00C64E31" w:rsidRDefault="007B698D" w:rsidP="00C64E31">
            <w:pPr>
              <w:pStyle w:val="Akapitzlist"/>
              <w:numPr>
                <w:ilvl w:val="0"/>
                <w:numId w:val="32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co 6 miesięcy należy wykonać próbę tuberkulinową lub test Quantiferon</w:t>
            </w:r>
            <w:r w:rsidR="00C64E3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B61100" w14:textId="77777777" w:rsidR="007B698D" w:rsidRPr="00C64E31" w:rsidRDefault="007B698D" w:rsidP="00C64E31">
            <w:pPr>
              <w:pStyle w:val="Akapitzlist"/>
              <w:numPr>
                <w:ilvl w:val="0"/>
                <w:numId w:val="32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31">
              <w:rPr>
                <w:rFonts w:ascii="Times New Roman" w:hAnsi="Times New Roman" w:cs="Times New Roman"/>
                <w:sz w:val="20"/>
                <w:szCs w:val="20"/>
              </w:rPr>
              <w:t>co 6 miesięcy należy przeprowadzić konsultację neurologiczną z ewentualnym badaniem MRI do decyzji lekarza konsultującego</w:t>
            </w:r>
            <w:r w:rsidR="00C64E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B6FC94" w14:textId="77777777" w:rsidR="007314E6" w:rsidRPr="00594413" w:rsidRDefault="007314E6" w:rsidP="007B698D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046980" w14:textId="77777777" w:rsidR="00AB0910" w:rsidRPr="00594413" w:rsidRDefault="007314E6" w:rsidP="007B698D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3. M</w:t>
            </w:r>
            <w:r w:rsidR="00AB0910"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onitorowanie programu</w:t>
            </w:r>
            <w:r w:rsidR="009C20A9" w:rsidRPr="0059441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24FFBA9" w14:textId="77777777" w:rsidR="00AB0910" w:rsidRPr="00594413" w:rsidRDefault="00AB0910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1) gromadzenie w dokumentacji medycznej pacjenta danych dotyczących monitorowania leczenia i każdorazowe ich przedstawianie na żądanie kontrolerów Narodowego Funduszu Zdrowia;</w:t>
            </w:r>
          </w:p>
          <w:p w14:paraId="01766A06" w14:textId="77777777" w:rsidR="00AB0910" w:rsidRPr="00594413" w:rsidRDefault="007B698D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uzupełnia</w:t>
            </w:r>
            <w:r w:rsidR="00AB0910" w:rsidRPr="00594413">
              <w:rPr>
                <w:rFonts w:ascii="Times New Roman" w:hAnsi="Times New Roman" w:cs="Times New Roman"/>
                <w:sz w:val="20"/>
                <w:szCs w:val="20"/>
              </w:rPr>
              <w:t>nie danych zawartych w rejestrze (SMPT) dostępnym za pomocą aplikacji internetowej  udostępnionej przez OW NFZ, z częstotliwością zgodną z opisem programu oraz na zakończenie leczenia;</w:t>
            </w:r>
          </w:p>
          <w:p w14:paraId="36CE23C0" w14:textId="77777777" w:rsidR="00AB0910" w:rsidRPr="00594413" w:rsidRDefault="00AB0910" w:rsidP="007B698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3) przekazywanie informacji sprawozdawczo</w:t>
            </w:r>
            <w:r w:rsidR="009D2283" w:rsidRPr="0059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413">
              <w:rPr>
                <w:rFonts w:ascii="Times New Roman" w:hAnsi="Times New Roman" w:cs="Times New Roman"/>
                <w:sz w:val="20"/>
                <w:szCs w:val="20"/>
              </w:rPr>
              <w:t>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820036F" w14:textId="77777777" w:rsidR="00AB0910" w:rsidRPr="00594413" w:rsidRDefault="00AB0910" w:rsidP="007B698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sectPr w:rsidR="00AB0910" w:rsidRPr="00594413" w:rsidSect="0073682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1424F" w14:textId="77777777" w:rsidR="00543662" w:rsidRDefault="00543662" w:rsidP="004213E0">
      <w:pPr>
        <w:spacing w:after="0" w:line="240" w:lineRule="auto"/>
      </w:pPr>
      <w:r>
        <w:separator/>
      </w:r>
    </w:p>
  </w:endnote>
  <w:endnote w:type="continuationSeparator" w:id="0">
    <w:p w14:paraId="3F23E485" w14:textId="77777777" w:rsidR="00543662" w:rsidRDefault="00543662" w:rsidP="0042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60CDE" w14:textId="77777777" w:rsidR="00543662" w:rsidRDefault="00543662" w:rsidP="004213E0">
      <w:pPr>
        <w:spacing w:after="0" w:line="240" w:lineRule="auto"/>
      </w:pPr>
      <w:r>
        <w:separator/>
      </w:r>
    </w:p>
  </w:footnote>
  <w:footnote w:type="continuationSeparator" w:id="0">
    <w:p w14:paraId="0B36215B" w14:textId="77777777" w:rsidR="00543662" w:rsidRDefault="00543662" w:rsidP="00421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0.4pt;height:170.4pt" o:bullet="t">
        <v:imagedata r:id="rId1" o:title="punktor small"/>
      </v:shape>
    </w:pict>
  </w:numPicBullet>
  <w:abstractNum w:abstractNumId="0" w15:restartNumberingAfterBreak="0">
    <w:nsid w:val="067017AF"/>
    <w:multiLevelType w:val="hybridMultilevel"/>
    <w:tmpl w:val="21CA8F30"/>
    <w:lvl w:ilvl="0" w:tplc="B3C8A67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921C2"/>
    <w:multiLevelType w:val="hybridMultilevel"/>
    <w:tmpl w:val="777AF814"/>
    <w:lvl w:ilvl="0" w:tplc="5F3AB84E">
      <w:start w:val="1"/>
      <w:numFmt w:val="bullet"/>
      <w:lvlText w:val=""/>
      <w:lvlJc w:val="left"/>
      <w:pPr>
        <w:ind w:left="107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C9D14B8"/>
    <w:multiLevelType w:val="hybridMultilevel"/>
    <w:tmpl w:val="06C86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549A0"/>
    <w:multiLevelType w:val="hybridMultilevel"/>
    <w:tmpl w:val="30A81C2A"/>
    <w:lvl w:ilvl="0" w:tplc="1B68C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5E5F"/>
    <w:multiLevelType w:val="hybridMultilevel"/>
    <w:tmpl w:val="AF7A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22A9E"/>
    <w:multiLevelType w:val="hybridMultilevel"/>
    <w:tmpl w:val="1452FA3A"/>
    <w:lvl w:ilvl="0" w:tplc="B3C8A6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4569C"/>
    <w:multiLevelType w:val="hybridMultilevel"/>
    <w:tmpl w:val="B20AC11E"/>
    <w:lvl w:ilvl="0" w:tplc="1FE87E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50910"/>
    <w:multiLevelType w:val="hybridMultilevel"/>
    <w:tmpl w:val="D95C4488"/>
    <w:lvl w:ilvl="0" w:tplc="3A400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665F9"/>
    <w:multiLevelType w:val="hybridMultilevel"/>
    <w:tmpl w:val="8EB65E82"/>
    <w:lvl w:ilvl="0" w:tplc="8E0E144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323E4F" w:themeColor="text2" w:themeShade="BF"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E2CB8"/>
    <w:multiLevelType w:val="hybridMultilevel"/>
    <w:tmpl w:val="99BC5D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7663C3"/>
    <w:multiLevelType w:val="hybridMultilevel"/>
    <w:tmpl w:val="DBE8DA66"/>
    <w:lvl w:ilvl="0" w:tplc="DDF6BAC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CB1C37"/>
    <w:multiLevelType w:val="hybridMultilevel"/>
    <w:tmpl w:val="E1144FD0"/>
    <w:lvl w:ilvl="0" w:tplc="580C4E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B1498"/>
    <w:multiLevelType w:val="hybridMultilevel"/>
    <w:tmpl w:val="5D421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A37A7"/>
    <w:multiLevelType w:val="hybridMultilevel"/>
    <w:tmpl w:val="857C736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4A11910"/>
    <w:multiLevelType w:val="hybridMultilevel"/>
    <w:tmpl w:val="F3103D78"/>
    <w:lvl w:ilvl="0" w:tplc="2892B70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48DD07D2"/>
    <w:multiLevelType w:val="hybridMultilevel"/>
    <w:tmpl w:val="8FFAE032"/>
    <w:lvl w:ilvl="0" w:tplc="3650F0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B50E8"/>
    <w:multiLevelType w:val="hybridMultilevel"/>
    <w:tmpl w:val="AC6C4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56718"/>
    <w:multiLevelType w:val="hybridMultilevel"/>
    <w:tmpl w:val="A7CCD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D65D2"/>
    <w:multiLevelType w:val="hybridMultilevel"/>
    <w:tmpl w:val="E386117C"/>
    <w:lvl w:ilvl="0" w:tplc="09E287FE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C97369"/>
    <w:multiLevelType w:val="hybridMultilevel"/>
    <w:tmpl w:val="8FD4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0F6486"/>
    <w:multiLevelType w:val="hybridMultilevel"/>
    <w:tmpl w:val="8DA46038"/>
    <w:lvl w:ilvl="0" w:tplc="5F3AB84E">
      <w:start w:val="1"/>
      <w:numFmt w:val="bullet"/>
      <w:lvlText w:val=""/>
      <w:lvlJc w:val="left"/>
      <w:pPr>
        <w:ind w:left="1211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E540012"/>
    <w:multiLevelType w:val="hybridMultilevel"/>
    <w:tmpl w:val="BF3E2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83EC6"/>
    <w:multiLevelType w:val="hybridMultilevel"/>
    <w:tmpl w:val="86747830"/>
    <w:lvl w:ilvl="0" w:tplc="B3C8A6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A6954"/>
    <w:multiLevelType w:val="hybridMultilevel"/>
    <w:tmpl w:val="F44C8FC2"/>
    <w:lvl w:ilvl="0" w:tplc="DDF6BAC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B25ACA"/>
    <w:multiLevelType w:val="hybridMultilevel"/>
    <w:tmpl w:val="B06EDF86"/>
    <w:lvl w:ilvl="0" w:tplc="04D25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C618E9"/>
    <w:multiLevelType w:val="hybridMultilevel"/>
    <w:tmpl w:val="68B67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C051C"/>
    <w:multiLevelType w:val="hybridMultilevel"/>
    <w:tmpl w:val="60D0612A"/>
    <w:lvl w:ilvl="0" w:tplc="9E6C33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287A"/>
    <w:multiLevelType w:val="hybridMultilevel"/>
    <w:tmpl w:val="E3420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A1609"/>
    <w:multiLevelType w:val="hybridMultilevel"/>
    <w:tmpl w:val="70BEC384"/>
    <w:lvl w:ilvl="0" w:tplc="B3C8A67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41A6F"/>
    <w:multiLevelType w:val="hybridMultilevel"/>
    <w:tmpl w:val="D35E4394"/>
    <w:lvl w:ilvl="0" w:tplc="6352A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1077A"/>
    <w:multiLevelType w:val="hybridMultilevel"/>
    <w:tmpl w:val="87E28890"/>
    <w:lvl w:ilvl="0" w:tplc="B3C8A6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2E6FD6"/>
    <w:multiLevelType w:val="hybridMultilevel"/>
    <w:tmpl w:val="2A02F3B0"/>
    <w:lvl w:ilvl="0" w:tplc="83B438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27"/>
  </w:num>
  <w:num w:numId="5">
    <w:abstractNumId w:val="2"/>
  </w:num>
  <w:num w:numId="6">
    <w:abstractNumId w:val="18"/>
  </w:num>
  <w:num w:numId="7">
    <w:abstractNumId w:val="19"/>
  </w:num>
  <w:num w:numId="8">
    <w:abstractNumId w:val="20"/>
  </w:num>
  <w:num w:numId="9">
    <w:abstractNumId w:val="23"/>
  </w:num>
  <w:num w:numId="10">
    <w:abstractNumId w:val="10"/>
  </w:num>
  <w:num w:numId="11">
    <w:abstractNumId w:val="7"/>
  </w:num>
  <w:num w:numId="12">
    <w:abstractNumId w:val="1"/>
  </w:num>
  <w:num w:numId="13">
    <w:abstractNumId w:val="13"/>
  </w:num>
  <w:num w:numId="14">
    <w:abstractNumId w:val="28"/>
  </w:num>
  <w:num w:numId="15">
    <w:abstractNumId w:val="17"/>
  </w:num>
  <w:num w:numId="16">
    <w:abstractNumId w:val="12"/>
  </w:num>
  <w:num w:numId="17">
    <w:abstractNumId w:val="30"/>
  </w:num>
  <w:num w:numId="18">
    <w:abstractNumId w:val="6"/>
  </w:num>
  <w:num w:numId="19">
    <w:abstractNumId w:val="3"/>
  </w:num>
  <w:num w:numId="20">
    <w:abstractNumId w:val="9"/>
  </w:num>
  <w:num w:numId="21">
    <w:abstractNumId w:val="29"/>
  </w:num>
  <w:num w:numId="22">
    <w:abstractNumId w:val="21"/>
  </w:num>
  <w:num w:numId="23">
    <w:abstractNumId w:val="25"/>
  </w:num>
  <w:num w:numId="24">
    <w:abstractNumId w:val="11"/>
  </w:num>
  <w:num w:numId="25">
    <w:abstractNumId w:val="31"/>
  </w:num>
  <w:num w:numId="26">
    <w:abstractNumId w:val="0"/>
  </w:num>
  <w:num w:numId="27">
    <w:abstractNumId w:val="26"/>
  </w:num>
  <w:num w:numId="28">
    <w:abstractNumId w:val="5"/>
  </w:num>
  <w:num w:numId="29">
    <w:abstractNumId w:val="22"/>
  </w:num>
  <w:num w:numId="30">
    <w:abstractNumId w:val="16"/>
  </w:num>
  <w:num w:numId="31">
    <w:abstractNumId w:val="2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5F"/>
    <w:rsid w:val="000230CB"/>
    <w:rsid w:val="0006041A"/>
    <w:rsid w:val="000611BD"/>
    <w:rsid w:val="00061BF6"/>
    <w:rsid w:val="00081B7E"/>
    <w:rsid w:val="00085962"/>
    <w:rsid w:val="00104FFA"/>
    <w:rsid w:val="00114F61"/>
    <w:rsid w:val="00120B66"/>
    <w:rsid w:val="00127210"/>
    <w:rsid w:val="0013782C"/>
    <w:rsid w:val="0014554A"/>
    <w:rsid w:val="0015719A"/>
    <w:rsid w:val="00177EA6"/>
    <w:rsid w:val="00183018"/>
    <w:rsid w:val="001A4C50"/>
    <w:rsid w:val="001B539D"/>
    <w:rsid w:val="001B5F3C"/>
    <w:rsid w:val="00215634"/>
    <w:rsid w:val="00216FD5"/>
    <w:rsid w:val="00220D68"/>
    <w:rsid w:val="002E51D2"/>
    <w:rsid w:val="002F4D8A"/>
    <w:rsid w:val="00314C62"/>
    <w:rsid w:val="00317B1A"/>
    <w:rsid w:val="00361C27"/>
    <w:rsid w:val="00362A28"/>
    <w:rsid w:val="00376190"/>
    <w:rsid w:val="003964A9"/>
    <w:rsid w:val="003A3FE9"/>
    <w:rsid w:val="003A4BCF"/>
    <w:rsid w:val="003B4242"/>
    <w:rsid w:val="004114DA"/>
    <w:rsid w:val="004213E0"/>
    <w:rsid w:val="0042522E"/>
    <w:rsid w:val="00436793"/>
    <w:rsid w:val="00490EB5"/>
    <w:rsid w:val="004A6B8F"/>
    <w:rsid w:val="004A7499"/>
    <w:rsid w:val="004C0590"/>
    <w:rsid w:val="00501E64"/>
    <w:rsid w:val="00503B1E"/>
    <w:rsid w:val="0051314A"/>
    <w:rsid w:val="00527C31"/>
    <w:rsid w:val="005373A6"/>
    <w:rsid w:val="00543662"/>
    <w:rsid w:val="00555BBF"/>
    <w:rsid w:val="00573270"/>
    <w:rsid w:val="00594413"/>
    <w:rsid w:val="00597C33"/>
    <w:rsid w:val="005D3BE1"/>
    <w:rsid w:val="005D6D46"/>
    <w:rsid w:val="005F14E3"/>
    <w:rsid w:val="0069754D"/>
    <w:rsid w:val="006B1DA7"/>
    <w:rsid w:val="00722849"/>
    <w:rsid w:val="00726E3C"/>
    <w:rsid w:val="007314E6"/>
    <w:rsid w:val="00735593"/>
    <w:rsid w:val="00736825"/>
    <w:rsid w:val="00740D39"/>
    <w:rsid w:val="00766B60"/>
    <w:rsid w:val="007B068F"/>
    <w:rsid w:val="007B0C96"/>
    <w:rsid w:val="007B698D"/>
    <w:rsid w:val="007C2269"/>
    <w:rsid w:val="007E5F6B"/>
    <w:rsid w:val="00816DFA"/>
    <w:rsid w:val="00826824"/>
    <w:rsid w:val="00854A0D"/>
    <w:rsid w:val="00886E31"/>
    <w:rsid w:val="0089439B"/>
    <w:rsid w:val="008D02FA"/>
    <w:rsid w:val="008F4F03"/>
    <w:rsid w:val="009549A9"/>
    <w:rsid w:val="00960310"/>
    <w:rsid w:val="00961586"/>
    <w:rsid w:val="00966685"/>
    <w:rsid w:val="00980973"/>
    <w:rsid w:val="009A3426"/>
    <w:rsid w:val="009B246E"/>
    <w:rsid w:val="009B7330"/>
    <w:rsid w:val="009C20A9"/>
    <w:rsid w:val="009D2283"/>
    <w:rsid w:val="00A02B65"/>
    <w:rsid w:val="00A076BD"/>
    <w:rsid w:val="00A324B3"/>
    <w:rsid w:val="00A8013F"/>
    <w:rsid w:val="00AB0910"/>
    <w:rsid w:val="00AB3A50"/>
    <w:rsid w:val="00AB5A84"/>
    <w:rsid w:val="00AD34BC"/>
    <w:rsid w:val="00AE28C4"/>
    <w:rsid w:val="00B013D1"/>
    <w:rsid w:val="00B0797F"/>
    <w:rsid w:val="00B15918"/>
    <w:rsid w:val="00B32BFE"/>
    <w:rsid w:val="00B51D9D"/>
    <w:rsid w:val="00BA53CD"/>
    <w:rsid w:val="00BB6A3F"/>
    <w:rsid w:val="00BF2141"/>
    <w:rsid w:val="00C32039"/>
    <w:rsid w:val="00C4495F"/>
    <w:rsid w:val="00C64E31"/>
    <w:rsid w:val="00C73E9D"/>
    <w:rsid w:val="00C916B7"/>
    <w:rsid w:val="00CA4D63"/>
    <w:rsid w:val="00CB0E1D"/>
    <w:rsid w:val="00CD114C"/>
    <w:rsid w:val="00CD130E"/>
    <w:rsid w:val="00D056A7"/>
    <w:rsid w:val="00D2238B"/>
    <w:rsid w:val="00D2367D"/>
    <w:rsid w:val="00D30EDD"/>
    <w:rsid w:val="00D5001F"/>
    <w:rsid w:val="00D5373C"/>
    <w:rsid w:val="00D71CC3"/>
    <w:rsid w:val="00D97ABA"/>
    <w:rsid w:val="00DB6228"/>
    <w:rsid w:val="00E11A89"/>
    <w:rsid w:val="00E11AB9"/>
    <w:rsid w:val="00E26E93"/>
    <w:rsid w:val="00EA2C9B"/>
    <w:rsid w:val="00EB2754"/>
    <w:rsid w:val="00EB2A94"/>
    <w:rsid w:val="00EC5B39"/>
    <w:rsid w:val="00ED5C1A"/>
    <w:rsid w:val="00EE0523"/>
    <w:rsid w:val="00F370AC"/>
    <w:rsid w:val="00F47215"/>
    <w:rsid w:val="00FA688A"/>
    <w:rsid w:val="00FB3EED"/>
    <w:rsid w:val="00FE2E78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40A6B8"/>
  <w15:docId w15:val="{014BE594-1F82-4EF7-BDBB-F4F27324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0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kapit z listą11,List Paragraph"/>
    <w:basedOn w:val="Normalny"/>
    <w:link w:val="AkapitzlistZnak"/>
    <w:uiPriority w:val="34"/>
    <w:qFormat/>
    <w:rsid w:val="00AB09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80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01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01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13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AD34BC"/>
  </w:style>
  <w:style w:type="character" w:customStyle="1" w:styleId="AkapitzlistZnak">
    <w:name w:val="Akapit z listą Znak"/>
    <w:aliases w:val="Styl moj Znak,Akapit z listą11 Znak,List Paragraph Znak"/>
    <w:link w:val="Akapitzlist"/>
    <w:uiPriority w:val="34"/>
    <w:locked/>
    <w:rsid w:val="00DB6228"/>
  </w:style>
  <w:style w:type="character" w:styleId="Hipercze">
    <w:name w:val="Hyperlink"/>
    <w:basedOn w:val="Domylnaczcionkaakapitu"/>
    <w:uiPriority w:val="99"/>
    <w:unhideWhenUsed/>
    <w:rsid w:val="003A4BCF"/>
    <w:rPr>
      <w:color w:val="0000FF"/>
      <w:u w:val="single"/>
    </w:rPr>
  </w:style>
  <w:style w:type="character" w:customStyle="1" w:styleId="xn-chron">
    <w:name w:val="xn-chron"/>
    <w:basedOn w:val="Domylnaczcionkaakapitu"/>
    <w:rsid w:val="003A4BCF"/>
  </w:style>
  <w:style w:type="character" w:styleId="UyteHipercze">
    <w:name w:val="FollowedHyperlink"/>
    <w:basedOn w:val="Domylnaczcionkaakapitu"/>
    <w:uiPriority w:val="99"/>
    <w:semiHidden/>
    <w:unhideWhenUsed/>
    <w:rsid w:val="00AB5A8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2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3E0"/>
  </w:style>
  <w:style w:type="paragraph" w:styleId="Stopka">
    <w:name w:val="footer"/>
    <w:basedOn w:val="Normalny"/>
    <w:link w:val="StopkaZnak"/>
    <w:uiPriority w:val="99"/>
    <w:unhideWhenUsed/>
    <w:rsid w:val="0042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1467</Words>
  <Characters>8804</Characters>
  <Application>Microsoft Office Word</Application>
  <DocSecurity>4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AbbVie Inc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Olszyńska</dc:creator>
  <cp:lastModifiedBy>Królak-Buzakowska Joanna</cp:lastModifiedBy>
  <cp:revision>2</cp:revision>
  <cp:lastPrinted>2017-01-11T10:01:00Z</cp:lastPrinted>
  <dcterms:created xsi:type="dcterms:W3CDTF">2019-08-21T13:05:00Z</dcterms:created>
  <dcterms:modified xsi:type="dcterms:W3CDTF">2019-08-21T13:05:00Z</dcterms:modified>
</cp:coreProperties>
</file>